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1BB" w:rsidRDefault="005401BB"/>
    <w:tbl>
      <w:tblPr>
        <w:tblStyle w:val="TableGrid"/>
        <w:tblW w:w="0" w:type="auto"/>
        <w:tblLook w:val="04A0" w:firstRow="1" w:lastRow="0" w:firstColumn="1" w:lastColumn="0" w:noHBand="0" w:noVBand="1"/>
      </w:tblPr>
      <w:tblGrid>
        <w:gridCol w:w="4316"/>
        <w:gridCol w:w="4317"/>
        <w:gridCol w:w="4317"/>
      </w:tblGrid>
      <w:tr w:rsidR="00535F25" w:rsidTr="00535F25">
        <w:tc>
          <w:tcPr>
            <w:tcW w:w="4316" w:type="dxa"/>
          </w:tcPr>
          <w:p w:rsidR="00535F25" w:rsidRDefault="00535F25" w:rsidP="00535F25">
            <w:pPr>
              <w:widowControl w:val="0"/>
              <w:jc w:val="center"/>
            </w:pPr>
            <w:r>
              <w:rPr>
                <w:rFonts w:ascii="Garamond" w:eastAsia="Garamond" w:hAnsi="Garamond" w:cs="Garamond"/>
                <w:b/>
                <w:sz w:val="44"/>
                <w:szCs w:val="44"/>
              </w:rPr>
              <w:t>Say</w:t>
            </w:r>
          </w:p>
          <w:p w:rsidR="00535F25" w:rsidRDefault="00535F25" w:rsidP="00535F25">
            <w:r>
              <w:rPr>
                <w:rFonts w:ascii="Garamond" w:eastAsia="Garamond" w:hAnsi="Garamond" w:cs="Garamond"/>
                <w:b/>
                <w:i/>
              </w:rPr>
              <w:t>List the phrases, facts or quotes that represent the speaker’s main points.</w:t>
            </w:r>
          </w:p>
        </w:tc>
        <w:tc>
          <w:tcPr>
            <w:tcW w:w="4317" w:type="dxa"/>
          </w:tcPr>
          <w:p w:rsidR="00535F25" w:rsidRDefault="00535F25" w:rsidP="00535F25">
            <w:pPr>
              <w:widowControl w:val="0"/>
              <w:jc w:val="center"/>
            </w:pPr>
            <w:r>
              <w:rPr>
                <w:rFonts w:ascii="Garamond" w:eastAsia="Garamond" w:hAnsi="Garamond" w:cs="Garamond"/>
                <w:b/>
                <w:sz w:val="40"/>
                <w:szCs w:val="40"/>
              </w:rPr>
              <w:t>Mean</w:t>
            </w:r>
          </w:p>
          <w:p w:rsidR="00535F25" w:rsidRDefault="00535F25" w:rsidP="00535F25">
            <w:r>
              <w:rPr>
                <w:rFonts w:ascii="Garamond" w:eastAsia="Garamond" w:hAnsi="Garamond" w:cs="Garamond"/>
                <w:b/>
                <w:i/>
              </w:rPr>
              <w:t>What does the speaker mean in this sentence or phrase</w:t>
            </w:r>
            <w:r>
              <w:rPr>
                <w:rFonts w:ascii="Garamond" w:eastAsia="Garamond" w:hAnsi="Garamond" w:cs="Garamond"/>
                <w:b/>
              </w:rPr>
              <w:t xml:space="preserve">? </w:t>
            </w:r>
            <w:r w:rsidRPr="00AF31F6">
              <w:rPr>
                <w:rFonts w:ascii="Garamond" w:eastAsia="Garamond" w:hAnsi="Garamond" w:cs="Garamond"/>
                <w:b/>
                <w:i/>
              </w:rPr>
              <w:t>Put the quote in your own words.</w:t>
            </w:r>
          </w:p>
        </w:tc>
        <w:tc>
          <w:tcPr>
            <w:tcW w:w="4317" w:type="dxa"/>
          </w:tcPr>
          <w:p w:rsidR="00535F25" w:rsidRDefault="00535F25" w:rsidP="00535F25">
            <w:pPr>
              <w:widowControl w:val="0"/>
              <w:jc w:val="center"/>
            </w:pPr>
            <w:r>
              <w:rPr>
                <w:rFonts w:ascii="Garamond" w:eastAsia="Garamond" w:hAnsi="Garamond" w:cs="Garamond"/>
                <w:b/>
                <w:sz w:val="40"/>
                <w:szCs w:val="40"/>
              </w:rPr>
              <w:t>Matter</w:t>
            </w:r>
          </w:p>
          <w:p w:rsidR="00535F25" w:rsidRDefault="00535F25" w:rsidP="00535F25">
            <w:r>
              <w:rPr>
                <w:rFonts w:ascii="Garamond" w:eastAsia="Garamond" w:hAnsi="Garamond" w:cs="Garamond"/>
                <w:b/>
                <w:i/>
              </w:rPr>
              <w:t>Why does this information matter? How does this relate to you, your work, or the world?</w:t>
            </w:r>
          </w:p>
        </w:tc>
      </w:tr>
      <w:tr w:rsidR="00535F25" w:rsidTr="00535F25">
        <w:tc>
          <w:tcPr>
            <w:tcW w:w="4316" w:type="dxa"/>
          </w:tcPr>
          <w:p w:rsidR="00535F25" w:rsidRDefault="00535F25" w:rsidP="00535F25">
            <w:pPr>
              <w:widowControl w:val="0"/>
              <w:rPr>
                <w:i/>
                <w:sz w:val="20"/>
                <w:szCs w:val="20"/>
              </w:rPr>
            </w:pPr>
            <w:r w:rsidRPr="00BF4A8D">
              <w:rPr>
                <w:sz w:val="22"/>
                <w:szCs w:val="22"/>
              </w:rPr>
              <w:t>Psychological and anthropological studies of adult-child relations, observed in many cultures, support the view that growing up is an 'apprenticeship in thinking', an induction into ways with words and ways of thinking which is achieved through dialogue</w:t>
            </w:r>
            <w:r>
              <w:t xml:space="preserve">. </w:t>
            </w:r>
            <w:r w:rsidRPr="00BF4A8D">
              <w:rPr>
                <w:i/>
                <w:sz w:val="20"/>
                <w:szCs w:val="20"/>
              </w:rPr>
              <w:t>(Mercer, 1995)</w:t>
            </w:r>
          </w:p>
          <w:p w:rsidR="00535F25" w:rsidRDefault="00535F25"/>
          <w:p w:rsidR="00535F25" w:rsidRDefault="00535F25">
            <w:bookmarkStart w:id="0" w:name="_GoBack"/>
            <w:bookmarkEnd w:id="0"/>
          </w:p>
        </w:tc>
        <w:tc>
          <w:tcPr>
            <w:tcW w:w="4317" w:type="dxa"/>
          </w:tcPr>
          <w:p w:rsidR="00535F25" w:rsidRDefault="00535F25"/>
        </w:tc>
        <w:tc>
          <w:tcPr>
            <w:tcW w:w="4317" w:type="dxa"/>
          </w:tcPr>
          <w:p w:rsidR="00535F25" w:rsidRDefault="00535F25"/>
        </w:tc>
      </w:tr>
      <w:tr w:rsidR="00535F25" w:rsidTr="00535F25">
        <w:tc>
          <w:tcPr>
            <w:tcW w:w="4316" w:type="dxa"/>
          </w:tcPr>
          <w:p w:rsidR="00535F25" w:rsidRDefault="00535F25">
            <w:pPr>
              <w:rPr>
                <w:i/>
                <w:sz w:val="20"/>
                <w:szCs w:val="20"/>
              </w:rPr>
            </w:pPr>
            <w:r w:rsidRPr="00BF4A8D">
              <w:rPr>
                <w:sz w:val="22"/>
                <w:szCs w:val="22"/>
              </w:rPr>
              <w:t xml:space="preserve">Yet, the commonly advocated benefits of dialogic teaching are of much greater magnitude and lie not in the students’ ability to learn the right answers, but in their acquired disposition to reflect upon and question these answers </w:t>
            </w:r>
            <w:r w:rsidRPr="00BF4A8D">
              <w:rPr>
                <w:i/>
                <w:sz w:val="20"/>
                <w:szCs w:val="20"/>
              </w:rPr>
              <w:t>(</w:t>
            </w:r>
            <w:proofErr w:type="spellStart"/>
            <w:r w:rsidRPr="00BF4A8D">
              <w:rPr>
                <w:i/>
                <w:sz w:val="20"/>
                <w:szCs w:val="20"/>
              </w:rPr>
              <w:t>Bakhtin</w:t>
            </w:r>
            <w:proofErr w:type="spellEnd"/>
            <w:r w:rsidRPr="00BF4A8D">
              <w:rPr>
                <w:i/>
                <w:sz w:val="20"/>
                <w:szCs w:val="20"/>
              </w:rPr>
              <w:t xml:space="preserve">, 1984; </w:t>
            </w:r>
            <w:proofErr w:type="spellStart"/>
            <w:r w:rsidRPr="00BF4A8D">
              <w:rPr>
                <w:i/>
                <w:sz w:val="20"/>
                <w:szCs w:val="20"/>
              </w:rPr>
              <w:t>Burbules</w:t>
            </w:r>
            <w:proofErr w:type="spellEnd"/>
            <w:r w:rsidRPr="00BF4A8D">
              <w:rPr>
                <w:i/>
                <w:sz w:val="20"/>
                <w:szCs w:val="20"/>
              </w:rPr>
              <w:t xml:space="preserve">, 1993; </w:t>
            </w:r>
            <w:proofErr w:type="spellStart"/>
            <w:r w:rsidRPr="00BF4A8D">
              <w:rPr>
                <w:i/>
                <w:sz w:val="20"/>
                <w:szCs w:val="20"/>
              </w:rPr>
              <w:t>Freire</w:t>
            </w:r>
            <w:proofErr w:type="spellEnd"/>
            <w:r w:rsidRPr="00BF4A8D">
              <w:rPr>
                <w:i/>
                <w:sz w:val="20"/>
                <w:szCs w:val="20"/>
              </w:rPr>
              <w:t xml:space="preserve">, 1997; </w:t>
            </w:r>
            <w:proofErr w:type="spellStart"/>
            <w:r w:rsidRPr="00BF4A8D">
              <w:rPr>
                <w:i/>
                <w:sz w:val="20"/>
                <w:szCs w:val="20"/>
              </w:rPr>
              <w:t>Lipman</w:t>
            </w:r>
            <w:proofErr w:type="spellEnd"/>
            <w:r w:rsidRPr="00BF4A8D">
              <w:rPr>
                <w:i/>
                <w:sz w:val="20"/>
                <w:szCs w:val="20"/>
              </w:rPr>
              <w:t>, 1991; Paul, 1986).</w:t>
            </w:r>
          </w:p>
          <w:p w:rsidR="00535F25" w:rsidRDefault="00535F25"/>
        </w:tc>
        <w:tc>
          <w:tcPr>
            <w:tcW w:w="4317" w:type="dxa"/>
          </w:tcPr>
          <w:p w:rsidR="00535F25" w:rsidRDefault="00535F25"/>
        </w:tc>
        <w:tc>
          <w:tcPr>
            <w:tcW w:w="4317" w:type="dxa"/>
          </w:tcPr>
          <w:p w:rsidR="00535F25" w:rsidRDefault="00535F25"/>
        </w:tc>
      </w:tr>
      <w:tr w:rsidR="00535F25" w:rsidTr="00535F25">
        <w:tc>
          <w:tcPr>
            <w:tcW w:w="4316" w:type="dxa"/>
          </w:tcPr>
          <w:p w:rsidR="00535F25" w:rsidRPr="00BF4A8D" w:rsidRDefault="00535F25" w:rsidP="00535F25">
            <w:pPr>
              <w:widowControl w:val="0"/>
              <w:rPr>
                <w:sz w:val="22"/>
                <w:szCs w:val="22"/>
              </w:rPr>
            </w:pPr>
            <w:r>
              <w:t>“</w:t>
            </w:r>
            <w:r w:rsidRPr="00BF4A8D">
              <w:rPr>
                <w:sz w:val="22"/>
                <w:szCs w:val="22"/>
              </w:rPr>
              <w:t>…language helps children to integrate new information, ideas and experiences into their existing framework of knowledge and beliefs.” This supports the fact that a child’s knowledge and use of language is integral for continuous learning.</w:t>
            </w:r>
          </w:p>
          <w:p w:rsidR="00535F25" w:rsidRDefault="00535F25" w:rsidP="00535F25">
            <w:pPr>
              <w:rPr>
                <w:i/>
                <w:sz w:val="20"/>
                <w:szCs w:val="20"/>
              </w:rPr>
            </w:pPr>
            <w:r w:rsidRPr="00BF4A8D">
              <w:rPr>
                <w:i/>
                <w:sz w:val="20"/>
                <w:szCs w:val="20"/>
              </w:rPr>
              <w:t>Munro (2009, pg. 24)</w:t>
            </w:r>
          </w:p>
          <w:p w:rsidR="00535F25" w:rsidRDefault="00535F25" w:rsidP="00535F25">
            <w:pPr>
              <w:rPr>
                <w:i/>
                <w:sz w:val="20"/>
                <w:szCs w:val="20"/>
              </w:rPr>
            </w:pPr>
          </w:p>
          <w:p w:rsidR="00535F25" w:rsidRDefault="00535F25" w:rsidP="00535F25"/>
        </w:tc>
        <w:tc>
          <w:tcPr>
            <w:tcW w:w="4317" w:type="dxa"/>
          </w:tcPr>
          <w:p w:rsidR="00535F25" w:rsidRDefault="00535F25"/>
        </w:tc>
        <w:tc>
          <w:tcPr>
            <w:tcW w:w="4317" w:type="dxa"/>
          </w:tcPr>
          <w:p w:rsidR="00535F25" w:rsidRDefault="00535F25"/>
        </w:tc>
      </w:tr>
    </w:tbl>
    <w:p w:rsidR="00535F25" w:rsidRDefault="00535F25"/>
    <w:sectPr w:rsidR="00535F25" w:rsidSect="00535F25">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EB5" w:rsidRDefault="008E5EB5" w:rsidP="00535F25">
      <w:r>
        <w:separator/>
      </w:r>
    </w:p>
  </w:endnote>
  <w:endnote w:type="continuationSeparator" w:id="0">
    <w:p w:rsidR="008E5EB5" w:rsidRDefault="008E5EB5" w:rsidP="00535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EB5" w:rsidRDefault="008E5EB5" w:rsidP="00535F25">
      <w:r>
        <w:separator/>
      </w:r>
    </w:p>
  </w:footnote>
  <w:footnote w:type="continuationSeparator" w:id="0">
    <w:p w:rsidR="008E5EB5" w:rsidRDefault="008E5EB5" w:rsidP="00535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F25" w:rsidRPr="00AF31F6" w:rsidRDefault="00535F25" w:rsidP="00535F25">
    <w:pPr>
      <w:pStyle w:val="NoSpacing"/>
      <w:jc w:val="center"/>
      <w:rPr>
        <w:rStyle w:val="Strong"/>
        <w:sz w:val="52"/>
        <w:szCs w:val="52"/>
      </w:rPr>
    </w:pPr>
    <w:r w:rsidRPr="00AF31F6">
      <w:rPr>
        <w:rStyle w:val="Strong"/>
        <w:sz w:val="52"/>
        <w:szCs w:val="52"/>
      </w:rPr>
      <w:t>Say-Mean-Matter</w:t>
    </w:r>
  </w:p>
  <w:p w:rsidR="00535F25" w:rsidRDefault="00535F25" w:rsidP="00535F25">
    <w:pPr>
      <w:widowControl w:val="0"/>
    </w:pPr>
  </w:p>
  <w:p w:rsidR="00535F25" w:rsidRDefault="00535F25" w:rsidP="00535F25">
    <w:pPr>
      <w:pStyle w:val="Header"/>
    </w:pPr>
    <w:r w:rsidRPr="00D26DB8">
      <w:rPr>
        <w:rFonts w:ascii="Garamond" w:eastAsia="Garamond" w:hAnsi="Garamond" w:cs="Garamond"/>
        <w:sz w:val="28"/>
      </w:rPr>
      <w:t xml:space="preserve">Using a </w:t>
    </w:r>
    <w:r w:rsidRPr="00D26DB8">
      <w:rPr>
        <w:rFonts w:ascii="Garamond" w:eastAsia="Garamond" w:hAnsi="Garamond" w:cs="Garamond"/>
        <w:b/>
        <w:sz w:val="28"/>
      </w:rPr>
      <w:t>Say-Mean-Matter</w:t>
    </w:r>
    <w:r w:rsidRPr="00D26DB8">
      <w:rPr>
        <w:rFonts w:ascii="Garamond" w:eastAsia="Garamond" w:hAnsi="Garamond" w:cs="Garamond"/>
        <w:sz w:val="28"/>
      </w:rPr>
      <w:t xml:space="preserve"> chart will help you understand why information in a lecture or a text is relevant to you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F25"/>
    <w:rsid w:val="00535F25"/>
    <w:rsid w:val="005401BB"/>
    <w:rsid w:val="008E5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B8FB21-0EB7-404D-892D-69EE1847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35F25"/>
    <w:pPr>
      <w:spacing w:after="0" w:line="240" w:lineRule="auto"/>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5F25"/>
    <w:pPr>
      <w:tabs>
        <w:tab w:val="center" w:pos="4680"/>
        <w:tab w:val="right" w:pos="9360"/>
      </w:tabs>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535F25"/>
  </w:style>
  <w:style w:type="paragraph" w:styleId="Footer">
    <w:name w:val="footer"/>
    <w:basedOn w:val="Normal"/>
    <w:link w:val="FooterChar"/>
    <w:uiPriority w:val="99"/>
    <w:unhideWhenUsed/>
    <w:rsid w:val="00535F25"/>
    <w:pPr>
      <w:tabs>
        <w:tab w:val="center" w:pos="4680"/>
        <w:tab w:val="right" w:pos="9360"/>
      </w:tabs>
    </w:pPr>
    <w:rPr>
      <w:rFonts w:asciiTheme="minorHAnsi" w:eastAsiaTheme="minorHAnsi" w:hAnsiTheme="minorHAnsi" w:cstheme="minorBidi"/>
      <w:color w:val="auto"/>
      <w:sz w:val="22"/>
      <w:szCs w:val="22"/>
    </w:rPr>
  </w:style>
  <w:style w:type="character" w:customStyle="1" w:styleId="FooterChar">
    <w:name w:val="Footer Char"/>
    <w:basedOn w:val="DefaultParagraphFont"/>
    <w:link w:val="Footer"/>
    <w:uiPriority w:val="99"/>
    <w:rsid w:val="00535F25"/>
  </w:style>
  <w:style w:type="paragraph" w:styleId="Title">
    <w:name w:val="Title"/>
    <w:basedOn w:val="Normal"/>
    <w:next w:val="Normal"/>
    <w:link w:val="TitleChar"/>
    <w:rsid w:val="00535F25"/>
    <w:pPr>
      <w:keepNext/>
      <w:keepLines/>
      <w:spacing w:before="480" w:after="120"/>
      <w:contextualSpacing/>
    </w:pPr>
    <w:rPr>
      <w:b/>
      <w:sz w:val="72"/>
      <w:szCs w:val="72"/>
    </w:rPr>
  </w:style>
  <w:style w:type="character" w:customStyle="1" w:styleId="TitleChar">
    <w:name w:val="Title Char"/>
    <w:basedOn w:val="DefaultParagraphFont"/>
    <w:link w:val="Title"/>
    <w:rsid w:val="00535F25"/>
    <w:rPr>
      <w:rFonts w:ascii="Times New Roman" w:eastAsia="Times New Roman" w:hAnsi="Times New Roman" w:cs="Times New Roman"/>
      <w:b/>
      <w:color w:val="000000"/>
      <w:sz w:val="72"/>
      <w:szCs w:val="72"/>
    </w:rPr>
  </w:style>
  <w:style w:type="character" w:styleId="Strong">
    <w:name w:val="Strong"/>
    <w:basedOn w:val="DefaultParagraphFont"/>
    <w:uiPriority w:val="22"/>
    <w:qFormat/>
    <w:rsid w:val="00535F25"/>
    <w:rPr>
      <w:b/>
      <w:bCs/>
    </w:rPr>
  </w:style>
  <w:style w:type="paragraph" w:styleId="NoSpacing">
    <w:name w:val="No Spacing"/>
    <w:uiPriority w:val="1"/>
    <w:qFormat/>
    <w:rsid w:val="00535F25"/>
    <w:pPr>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39"/>
    <w:rsid w:val="00535F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Riordan</dc:creator>
  <cp:keywords/>
  <dc:description/>
  <cp:lastModifiedBy>Jane Riordan</cp:lastModifiedBy>
  <cp:revision>1</cp:revision>
  <dcterms:created xsi:type="dcterms:W3CDTF">2015-08-28T13:38:00Z</dcterms:created>
  <dcterms:modified xsi:type="dcterms:W3CDTF">2015-08-28T13:41:00Z</dcterms:modified>
</cp:coreProperties>
</file>